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KlaCbMstrV 2020 — Gegenstand</w:t>
      </w:r>
    </w:p>
    <w:p>
      <w:r>
        <w:rPr>
          <w:color w:val="555555"/>
          <w:sz w:val="18"/>
        </w:rPr>
        <w:t xml:space="preserve">Klavier- und Cembalobauermeisterverordnung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Diese Verordnung regelt das Meisterprüfungsberufsbild sowie die in der Prüfung in den Teilen I und II der Meisterprüfung im Klavier- und Cembalobauer-Handwerk zu stellenden Anforderungen.</w:t>
      </w:r>
    </w:p>
    <w:p>
      <w:r>
        <w:rPr>
          <w:color w:val="555555"/>
          <w:sz w:val="17"/>
        </w:rPr>
        <w:t xml:space="preserve">Zitiervorschlag: § 1 KlaCbMstrV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https://recht.nulegal.eu/gesetze/KlaCbMstrV%202020/1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KlaCbMstrV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