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KlärEV</w:t>
      </w:r>
    </w:p>
    <w:p>
      <w:r>
        <w:rPr>
          <w:color w:val="555555"/>
          <w:sz w:val="18"/>
        </w:rPr>
        <w:t xml:space="preserve">Klärschlamm-Entschädigungsfondsverordnung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3 des Düngemittelgesetzes vom 15. November 1977 (BGBl. I S. 2134), der durch Artikel 4 Nr. 8 des Gesetzes vom 27. September 1994 (BGBl. I S. 2705) eingefügt worden ist, verordnet die Bundesregierung unter Berücksichtigung der Rechte des Bundestages:</w:t>
      </w:r>
    </w:p>
    <w:p>
      <w:r>
        <w:rPr>
          <w:color w:val="555555"/>
          <w:sz w:val="17"/>
        </w:rPr>
        <w:t xml:space="preserve">Zitiervorschlag: Eingangsformel KlärEV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https://recht.nulegal.eu/gesetze/Kl%C3%A4rEV/eingangsformel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