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KitaPersV (Brandenburg) — Leitungskräfte</w:t>
      </w:r>
    </w:p>
    <w:p>
      <w:r>
        <w:rPr>
          <w:color w:val="555555"/>
          <w:sz w:val="18"/>
        </w:rPr>
        <w:t xml:space="preserve">Kita-Personalverordnung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Als besonders geeignete Fachkraft, der die Leitung einer Kindertagesstätte übertragen werden darf, gilt eine Fachkraft gemäß § 9, § 10 Absatz 1 und § 11, die über besondere Fähigkeiten und Fertigkeiten im Bereich der frühkindlichen Bildung verfügt. Das erfordert in der Regel eine mindestens zweijährige praktische Berufstätigkeit in der Kindertagesbetreuung sowie umfassende Kenntnisse in</w:t>
      </w:r>
    </w:p>
    <w:p>
      <w:r>
        <w:t xml:space="preserve">der Arbeit mit den Kindern aller Altersstufen, die in der Einrichtung betreut werden,</w:t>
      </w:r>
    </w:p>
    <w:p>
      <w:r>
        <w:t xml:space="preserve">der Aufgabenbestimmung der Kindertagesbetreuung im System der Kinder- und Jugendhilfe und</w:t>
      </w:r>
    </w:p>
    <w:p>
      <w:r>
        <w:t xml:space="preserve">der Förderung, Koordination, Anleitung und Führung von Betreuungskräften gemäß § 7.</w:t>
      </w:r>
    </w:p>
    <w:p>
      <w:r>
        <w:t xml:space="preserve">Fachkräfte gemäß § 9 Absatz 2 können in der Regel frühestens nach fünf Jahren praktischer Berufstätigkeit in der Kindertagesbetreuung mit der Leitung einer Kindertagesstätte betraut werden.</w:t>
      </w:r>
    </w:p>
    <w:p>
      <w:r>
        <w:t xml:space="preserve">(2) Erfahrene Fachkräfte nach § 9, § 10 Absatz 1 und § 11 sollen die Möglichkeit haben, Leitungsaufgaben zu übernehmen und durch Fortbildung und Praxisberatung Kenntnisse in diesen Bereichen zu erlangen.</w:t>
      </w:r>
    </w:p>
    <w:p>
      <w:r>
        <w:rPr>
          <w:color w:val="555555"/>
          <w:sz w:val="17"/>
        </w:rPr>
        <w:t xml:space="preserve">Zitiervorschlag: § 13 KitaPersV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https://recht.nulegal.eu/gesetze/KitaPersV/13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