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KitaLAV (Brandenburg) — Auszahlung der Ausgleichsbeträge an die örtlichen Träger der öffentlichen Jugendhilfe</w:t>
      </w:r>
    </w:p>
    <w:p>
      <w:r>
        <w:rPr>
          <w:color w:val="555555"/>
          <w:sz w:val="18"/>
        </w:rPr>
        <w:t xml:space="preserve">Kita-Leitungsausgleichsverordnung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Auszahlung der Ausgleichsbeträge an die örtlichen Träger der öffentlichen Jugendhilfe erfolgt zu den in § 5 Absatz 1 Satz 2 der Kindertagesstätten-Betriebskosten- und Nachweisverordnung genannten Terminen.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KitaLAV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https://recht.nulegal.eu/gesetze/KitaLAV/4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