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KitaLAV (Brandenburg) — Anwendungsbereich</w:t>
      </w:r>
    </w:p>
    <w:p>
      <w:r>
        <w:rPr>
          <w:color w:val="555555"/>
          <w:sz w:val="18"/>
        </w:rPr>
        <w:t xml:space="preserve">Kita-Leitungsausgleichsverordnung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regelt den Ausgleich der Mehrbelastungen, die bei den Trägern von Kindertagesstätten und den örtlichen Trägern der öffentlichen Jugendhilfe infolge der Zumessung eines Sockels für die Wahrnehmung pädagogischer Leitungsaufgaben aufgrund von § 5 Absatz 2 Satz 1 der Kita-Personalverordnung entstehen, sowie das Ausgleichsverfahren.</w:t>
      </w:r>
    </w:p>
    <w:p>
      <w:r>
        <w:t xml:space="preserve">Einzelnorm</w:t>
      </w:r>
    </w:p>
    <w:p>
      <w:r>
        <w:rPr>
          <w:color w:val="555555"/>
          <w:sz w:val="17"/>
        </w:rPr>
        <w:t xml:space="preserve">Zitiervorschlag: § 1 KitaLAV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https://recht.nulegal.eu/gesetze/KitaLAV/1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