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KitaG (Brandenburg) — Organisation der Kindertagesstätte</w:t>
      </w:r>
    </w:p>
    <w:p>
      <w:r>
        <w:rPr>
          <w:color w:val="555555"/>
          <w:sz w:val="18"/>
        </w:rPr>
        <w:t xml:space="preserve">Kindertagesstättengesetz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Kindertagesstätte gliedert sich in Gruppen, die altersgleich oder altersgemischt zusammengesetzt sein können.</w:t>
      </w:r>
    </w:p>
    <w:p>
      <w:r>
        <w:t xml:space="preserve">(2) Erfolgt die Gliederung der Kindertagesstätte insgesamt oder die Gliederung der Gruppen nach dem Alter der Kinder, so ist durch geeignete Maßnahmen darauf hinzuwirken, den Kindern Erfahrungen im Zusammenleben mit anderen Altersgruppen zu ermöglichen.</w:t>
      </w:r>
    </w:p>
    <w:p>
      <w:r>
        <w:t xml:space="preserve">(3) Die Organisation der Kindertagesstätte sowie die Gestaltung des Dienstplanes und des Tagesablaufes soll Kontinuität und Verlässlichkeit der Beziehungen zwischen pädagogischen Kräften und Kindern gewährleisten.</w:t>
      </w:r>
    </w:p>
    <w:p>
      <w:r>
        <w:rPr>
          <w:color w:val="555555"/>
          <w:sz w:val="17"/>
        </w:rPr>
        <w:t xml:space="preserve">Zitiervorschlag: § 8 KitaG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https://recht.nulegal.eu/gesetze/KitaG/8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