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KitaG (Brandenburg) — Zuständigkeiten für den Ausgleich der Mindereinnahmen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örtlichen Träger der öffentlichen Jugendhilfe nehmen den Ausgleich der Mindereinnahmen der Träger von Kindertagesstätten gemäß der §§ 55 bis 59 als Pflichtaufgabe zur Erfüllung nach Weisung wahr.</w:t>
      </w:r>
    </w:p>
    <w:p>
      <w:r>
        <w:t xml:space="preserve">(2) Die oberste Landesjugendbehörde kann den örtlichen Träger der öffentlichen Jugendhilfe anweisen, den Personalkostenzuschuss gemäß § 16 Absatz 2 nicht zu gewähren oder zu kürzen, wenn bei einem Träger von Kindertagesstätten ein Verstoß gegen § 16 Absatz 1 Satz 4 im Zusammenhang mit der Umsetzung der Elternbeitragsfreiheit oder Elternbeitragsgrenze festzustellen ist. Klagen von Trägern der Kindertagesstätten gegen Entscheidungen nach Satz 1 sind nach Durchführung eines Widerspruchsverfahrens unmittelbar gegen das Land zu richten.</w:t>
      </w:r>
    </w:p>
    <w:p>
      <w:r>
        <w:rPr>
          <w:color w:val="555555"/>
          <w:sz w:val="17"/>
        </w:rPr>
        <w:t xml:space="preserve">Zitiervorschlag: § 60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