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KitaG (Brandenburg) — Gewährung von Pauschalen für das erste Quartal im Jahr 2023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Abweichend von § 57 Absatz 3 haben Träger von Kindertagesstätten für den Zeitraum vom 1. Januar 2023 bis 31. März 2023 einen Anspruch auf Gewährung der Pauschalen gemäß § 56 Absatz 1 auf der Grundlage der Meldung der Kinderzahlen zum Stichtag 1. Dezember 2022 gemäß der Kindertagesstätten-Betriebskosten- und Nachweisverordnung im Jahr 2022 für folgende Kinderzahl:</w:t>
      </w:r>
    </w:p>
    <w:p>
      <w:r>
        <w:t xml:space="preserve">Kinder, die nach § 17 Absatz 1a bis zum 31. Dezember 2022 beitragsfrei waren, entsprechend der Meldung gemäß der Kindertagesstätten-Betriebskosten- und Nachweisverordnung;</w:t>
      </w:r>
    </w:p>
    <w:p>
      <w:r>
        <w:t xml:space="preserve">an Stelle der nach § 50 Absatz 2 beitragsfrei betreuten Kinder: Vierzig vom Hundert der Kinder, für die eine Betreuungsvereinbarung besteht, nach Abzug der Anzahl der Kinder, die nach Nummer 1 und gemäß § 17a Absatz 1 beitragsfrei betreut wurden;</w:t>
      </w:r>
    </w:p>
    <w:p>
      <w:r>
        <w:t xml:space="preserve">an Stelle der nach § 51 beitragsbegrenzt betreuten Kinder: Vierzig vom Hundert der Kinder, für die eine Betreuungsvereinbarung besteht, nach Abzug der Anzahl der Kinder, die nach Nummer 1 und gemäß § 17a Absatz 1 beitragsfrei betreut wurden.</w:t>
      </w:r>
    </w:p>
    <w:p>
      <w:r>
        <w:t xml:space="preserve">(2) Übersteigen die mit der ersten Meldung der Kinderzahlen gemäß der Kindertagesstätten-Betriebskosten- und Nachweisverordnung erfassten Kinderzahlen die in Absatz 1 Nummer 2 und 3 genannten Prozentsätze, hat der Träger der Kindertagesstätte einen Nachzahlungsanspruch zum nächsten Zahlungstermin gemäß der Kindertagesstätten-Betriebskosten- und Nachweisverordnung. § 57 Absatz 2 gilt entsprechend.</w:t>
      </w:r>
    </w:p>
    <w:p>
      <w:r>
        <w:rPr>
          <w:color w:val="555555"/>
          <w:sz w:val="17"/>
        </w:rPr>
        <w:t xml:space="preserve">Zitiervorschlag: § 58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