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KitaG (Brandenburg) — Elternbeitragsfreiheit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Personensorgeberechtigten ist kein Elternbeitrag zu erheben, wenn ihnen ein Kostenbeitrag gemäß § 90 Absatz 4 Satz 2 des Achten Buches Sozialgesetzbuch nicht zuzumuten ist oder sie über ein Elterneinkommen nach § 2a von bis zu 20 000 Euro verfügen.</w:t>
      </w:r>
    </w:p>
    <w:p>
      <w:r>
        <w:t xml:space="preserve">(2) Es sind auch dann keine Elternbeiträge zu entrichten, wenn das Elterneinkommen gemäß § 2a einen Betrag von 35 000 Euro nicht übersteigt.</w:t>
      </w:r>
    </w:p>
    <w:p>
      <w:r>
        <w:t xml:space="preserve">(3) Die Absätze 1 und 2 finden keine Anwendung, soweit die Personensorgeberechtigten gemäß § 17a Absatz 1 Satz 1 von der Beitragspflicht befreit sind.</w:t>
      </w:r>
    </w:p>
    <w:p>
      <w:r>
        <w:t xml:space="preserve">(4) Die Absätze 1 bis 3 gelten auch für Angebote der Kindertagespflege, die aus öffentlichen Mittel gefördert werden.</w:t>
      </w:r>
    </w:p>
    <w:p>
      <w:r>
        <w:rPr>
          <w:color w:val="555555"/>
          <w:sz w:val="17"/>
        </w:rPr>
        <w:t xml:space="preserve">Zitiervorschlag: § 50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