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KitaG (Brandenburg) — Durchführungsvorschriften zu diesem Abschnitt, Verordnungsermächtigung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Jugend zuständige Mitglied der Landesregierung wird ermächtigt, im Einvernehmen mit den beteiligten obersten Landesbehörden durch Rechtsverordnung das Nähere zu regeln über</w:t>
      </w:r>
    </w:p>
    <w:p>
      <w:r>
        <w:t xml:space="preserve">den Antrag, das Verfahren und die Anforderungen</w:t>
      </w:r>
    </w:p>
    <w:p>
      <w:r>
        <w:t xml:space="preserve">an die Prüfung und Feststellung der personenbezogenen Eignung einer Kindertagespflegeperson gemäß der §§ 27 bis 29,</w:t>
      </w:r>
    </w:p>
    <w:p>
      <w:r>
        <w:t xml:space="preserve">an die Feststellung der Eignung von Räumlichkeiten für die Kindertagespflege gemäß der §§ 30 und 31,</w:t>
      </w:r>
    </w:p>
    <w:p>
      <w:r>
        <w:t xml:space="preserve">an die Konzeptionen gemäß § 32 und</w:t>
      </w:r>
    </w:p>
    <w:p>
      <w:r>
        <w:t xml:space="preserve">an die Erteilung von Erlaubnissen zur Kindertagespflege gemäß den §§ 33 bis 35</w:t>
      </w:r>
    </w:p>
    <w:p>
      <w:r>
        <w:t xml:space="preserve">einschließlich des Verfahrens des jeweiligen Widerrufs,die Abrechnung der Geldleistungen gemäß § 43 und die Umsetzung der Übergangsregelung gemäß § 65 Absatz 3,</w:t>
      </w:r>
    </w:p>
    <w:p>
      <w:r>
        <w:t xml:space="preserve">die Kalkulation, den Erlass von Satzungen und Beitragsordnungen, die Festsetzung, die Erhebung und die Freistellung von Elternbeiträgen gemäß § 44 und die Umsetzung der Übergangsregelung gemäß § 65 Absatz 3,</w:t>
      </w:r>
    </w:p>
    <w:p>
      <w:r>
        <w:t xml:space="preserve">die Umsetzung des Online zugangsgesetzes im Bereich der Kindertagespflege,</w:t>
      </w:r>
    </w:p>
    <w:p>
      <w:r>
        <w:t xml:space="preserve">die elektronische Verarbeitung und statistische Auswertung von Daten, die für die Erfüllung der Aufgaben der Kindertagespflege benötigt werden, und die Absicherung des Datenschutzes im Bereich der Kindertagespflege,</w:t>
      </w:r>
    </w:p>
    <w:p>
      <w:r>
        <w:t xml:space="preserve">die Beratung und Förderung der Kindertagespflege durch den überörtlichen Träger der öffentlichen Jugendhilfe,</w:t>
      </w:r>
    </w:p>
    <w:p>
      <w:r>
        <w:t xml:space="preserve">die Zusammenarbeit mit Kindertagesstätten,</w:t>
      </w:r>
    </w:p>
    <w:p>
      <w:r>
        <w:t xml:space="preserve">die Umsetzung der Beteiligung der Personensorgeberechtigten in den Gremien gemäß § 6a,</w:t>
      </w:r>
    </w:p>
    <w:p>
      <w:r>
        <w:t xml:space="preserve">den Mehrbelastungsausgleich, der durch die Erweiterung von Aufgaben der örtlichen Träger der öffentlichen Jugendhilfe durch dieses Gesetz zu gewähren ist.</w:t>
      </w:r>
    </w:p>
    <w:p>
      <w:r>
        <w:rPr>
          <w:color w:val="555555"/>
          <w:sz w:val="17"/>
        </w:rPr>
        <w:t xml:space="preserve">Zitiervorschlag: § 48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