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46 KitaG (Brandenburg) — Datenverarbeitung und Datenschutz</w:t>
      </w:r>
    </w:p>
    <w:p>
      <w:r>
        <w:rPr>
          <w:color w:val="555555"/>
          <w:sz w:val="18"/>
        </w:rPr>
        <w:t xml:space="preserve">Kindertagesstättengesetz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Personenbezogene Daten, die nach den Bestimmungen dieses Abschnitts erhoben werden müssen, dürfen elektronisch verarbeitet und an die gemäß § 25 zuständige Behörde elektronisch übermittelt werden. § 72a Absatz 5 des Achten Buches Sozialgesetzbuch gilt entsprechend.</w:t>
      </w:r>
    </w:p>
    <w:p>
      <w:r>
        <w:t xml:space="preserve">(2) Die Personensorgeberechtigen und die Kindertagespflegepersonen sowie Träger von Angeboten gemäß § 24 Absatz 2 haben einen Anspruch auf elektronische Übermittlung ihrer Daten. Der örtliche Träger der öffentlichen Jugendhilfe kann hierzu elektronische Verfahren vorgeben.</w:t>
      </w:r>
    </w:p>
    <w:p>
      <w:r>
        <w:t xml:space="preserve">(3) Die erhobenen personenbezogenen Daten gemäß Absatz 1 dürfen für statistische Zwecke in anonymisierter Weise vom örtlichen Träger der öffentlichen Jugendhilfe und vom überörtlichen Träger der öffentlichen Jugendhilfe verwendet werden.</w:t>
      </w:r>
    </w:p>
    <w:p>
      <w:r>
        <w:rPr>
          <w:color w:val="555555"/>
          <w:sz w:val="17"/>
        </w:rPr>
        <w:t xml:space="preserve">Zitiervorschlag: § 46 KitaG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https://recht.nulegal.eu/gesetze/KitaG/46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