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KitaG (Brandenburg) — Erlaubnispflicht und Anspruch auf Erteilung einer Erlaubnis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Angebote der Kindertagespflege sind unter den Voraussetzungen des § 43 Absatz 1 des Achten Buches Sozialgesetzbuch erlaubnispflichtig. Es besteht gemäß § 43 Absatz 2 des Achten Buches Sozialgesetzbuch ein Anspruch auf Erteilung einer Erlaubnis für eine Kindertagespflegestelle, wenn</w:t>
      </w:r>
    </w:p>
    <w:p>
      <w:r>
        <w:t xml:space="preserve">für die Kindertagespflegeperson die personenbezogene Eignung gemäß § 29 festgestellt wurde,</w:t>
      </w:r>
    </w:p>
    <w:p>
      <w:r>
        <w:t xml:space="preserve">die Eignung der Räumlichkeiten gemäß § 31 festgestellt wurde und</w:t>
      </w:r>
    </w:p>
    <w:p>
      <w:r>
        <w:t xml:space="preserve">eine Konzeption gemäß § 32 Absatz 1 vorliegt.</w:t>
      </w:r>
    </w:p>
    <w:p>
      <w:r>
        <w:t xml:space="preserve">(2) Im Antrag auf Erteilung einer Erlaubnis gemäß Absatz 1 ist anzugeben, wie viele Kinder zeitgleich betreut werden und für welche Altersstufen gemäß § 2 Absatz 6 das Angebot gelten soll (Betreuungsplätze). Es ist anzugeben, ob die Kindertagespflegestelle Teil einer Großtagespflegestelle gemäß § 35 sein soll.</w:t>
      </w:r>
    </w:p>
    <w:p>
      <w:r>
        <w:rPr>
          <w:color w:val="555555"/>
          <w:sz w:val="17"/>
        </w:rPr>
        <w:t xml:space="preserve">Zitiervorschlag: § 26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https://recht.nulegal.eu/gesetze/KitaG/26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