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KitaG (Brandenburg) — Träger von Einrichtungen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von Einrichtungen der Kindertagesbetreuung sind Träger der freien Jugendhilfe, Gemeinden und Gemeindeverbände. Träger einer Einrichtung der Kindertagesbetreuung können auch sonstige Behörden, Körperschaften oder Anstalten des öffentlichen Rechts sowie Betriebe und andere private Einrichtungen sein. Der Träger der Einrichtung ist zur Toleranz und zum Respekt der unterschiedlichen religiösen und weltanschaulichen Einstellungen der Kinder und ihrer Eltern verpflichtet.</w:t>
      </w:r>
    </w:p>
    <w:p>
      <w:r>
        <w:t xml:space="preserve">(2) Der Träger muss bereit und in der Lage sein, bedarfsgerechte und geeignete Einrichtungen nach den Vorschriften dieses Gesetzes zu betreiben und eine angemessene Eigenleistung zu erbringen. Er hat bei Bedarf seine Einrichtung für alle Kinder unabhängig von ihrem religiösen und weltanschaulichen Hintergrund zu öffnen, insbesondere dann, wenn nur eine Einrichtung in erreichbarer Nähe ist.</w:t>
      </w:r>
    </w:p>
    <w:p>
      <w:r>
        <w:rPr>
          <w:color w:val="555555"/>
          <w:sz w:val="17"/>
        </w:rPr>
        <w:t xml:space="preserve">Zitiervorschlag: § 14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