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KitaG (Brandenburg) — Bau und Ausstattung</w:t>
      </w:r>
    </w:p>
    <w:p>
      <w:r>
        <w:rPr>
          <w:color w:val="555555"/>
          <w:sz w:val="18"/>
        </w:rPr>
        <w:t xml:space="preserve">Kindertagesstättengesetz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26.07.2026 (konsolidierte Textfassung, kein amtliches Inkrafttretensdatum)</w:t>
      </w:r>
    </w:p>
    <w:p>
      <w:r>
        <w:t xml:space="preserve">Die Lage, das Gebäude, die Räumlichkeiten, die Außenanlagen und die Ausstattung der Kindertagesstätten müssen den Aufgaben gemäß § 3 genügen. Sie müssen ausreichend und kindgemäß bemessen sein.</w:t>
      </w:r>
    </w:p>
    <w:p>
      <w:r>
        <w:rPr>
          <w:color w:val="555555"/>
          <w:sz w:val="17"/>
        </w:rPr>
        <w:t xml:space="preserve">Zitiervorschlag: § 13 KitaG (Brandenburg)</w:t>
      </w:r>
    </w:p>
    <w:p>
      <w:r>
        <w:rPr>
          <w:color w:val="555555"/>
          <w:sz w:val="17"/>
        </w:rPr>
        <w:t xml:space="preserve">Quelle: bravors, abgerufen 26.07.2026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https://recht.nulegal.eu/gesetze/KitaG/13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