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KitaFinHG — Grundvereinbarung</w:t>
      </w:r>
    </w:p>
    <w:p>
      <w:r>
        <w:rPr>
          <w:color w:val="555555"/>
          <w:sz w:val="18"/>
        </w:rPr>
        <w:t xml:space="preserve">Gesetz über Finanzhilfen des Bundes zum Ausbau der Tagesbetreuung für Kinder</w:t>
      </w:r>
    </w:p>
    <w:p>
      <w:r>
        <w:rPr>
          <w:color w:val="555555"/>
          <w:sz w:val="18"/>
        </w:rPr>
        <w:t xml:space="preserve">Stand: 17.07.2020 (konsolidierte Textfassung, kein amtliches Inkrafttretensdatum)</w:t>
      </w:r>
    </w:p>
    <w:p>
      <w:r>
        <w:t xml:space="preserve">Im Übrigen sind die Regelungen der Grundvereinbarung zwischen dem Bund und den Ländern über die Gewährung von Finanzhilfen des Bundes an die Länder nach Artikel 104a Absatz 4 des Grundgesetzes vom 19. September 1986 (Ministerialblatt des Bundesministers der Finanzen und des Bundesministers für Wirtschaft 1986, S. 238) entsprechend anzuwenden.</w:t>
      </w:r>
    </w:p>
    <w:p>
      <w:r>
        <w:rPr>
          <w:color w:val="555555"/>
          <w:sz w:val="17"/>
        </w:rPr>
        <w:t xml:space="preserve">Zitiervorschlag: § 32 KitaFinHG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https://recht.nulegal.eu/gesetze/KitaFinHG/32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