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KitaFinHG — Zweck der Finanzhilfen</w:t>
      </w:r>
    </w:p>
    <w:p>
      <w:r>
        <w:rPr>
          <w:color w:val="555555"/>
          <w:sz w:val="18"/>
        </w:rPr>
        <w:t xml:space="preserve">Gesetz über Finanzhilfen des Bundes zum Ausbau der Tagesbetreuung für Kinder</w:t>
      </w:r>
    </w:p>
    <w:p>
      <w:r>
        <w:rPr>
          <w:color w:val="555555"/>
          <w:sz w:val="18"/>
        </w:rPr>
        <w:t xml:space="preserve">Stand: 30.06.2021 (konsolidierte Textfassung, kein amtliches Inkrafttretensdatum)</w:t>
      </w:r>
    </w:p>
    <w:p>
      <w:r>
        <w:t xml:space="preserve">(1) In den Jahren 2020 und 2021 gewährt der Bund den Ländern und Gemeinden im Rahmen des Konjunktur- und Krisenbewältigungspakets zur Bewältigung der Folgen der Corona-Pandemie Finanzhilfen nach Artikel 104b des Grundgesetzes aus dem Bundessondervermögen „Kinderbetreuungsausbau“. Die Finanzhilfen sind für Investitionen in Tageseinrichtungen und zur Kindertagespflege für Kinder von der Geburt bis zum Schuleintritt einzusetzen. Investitionen sind Neubau-, Ausbau-, Umbau-, Sanierungs-, Renovierungs- und Ausstattungsinvestitionen. Die Ausführungsbestimmungen zur Ausgestaltung von Ausstattungsinvestitionen obliegen den Ländern.</w:t>
      </w:r>
    </w:p>
    <w:p>
      <w:r>
        <w:t xml:space="preserve">(2) Gefördert werden Investitionen, die der Schaffung oder Ausstattung zusätzlicher Betreuungsplätze dienen und die im Zeitraum 1. Januar 2020 bis 31. Dezember 2022 begonnen wurden.</w:t>
      </w:r>
    </w:p>
    <w:p>
      <w:r>
        <w:t xml:space="preserve">(3) Als Beginn gilt der Abschluss eines rechtsverbindlichen Leistungs- und Lieferungsvertrags unter der Voraussetzung des unverzüglichen Beginns der Umsetzung der vertraglich vereinbarten Leistungen (Neubau-, Ausbau, Umbau-, Sanierungs-, Renovierungs- und/oder Ausstattungsmaßnahmen). Bei Vorhaben, die in selbständige Abschnitte eines laufenden Verfahrens aufgeteilt werden können, ist eine Förderung des selbständigen Abschnitts auch möglich, wenn allein für diesen Abschnitt die Förderkriterien erfüllt sind.</w:t>
      </w:r>
    </w:p>
    <w:p>
      <w:r>
        <w:t xml:space="preserve">(4) Zusätzliche Betreuungsplätze im Sinne dieses Gesetzes sind Betreuungsplätze, die entweder neu entstehen oder solche ersetzen, die ohne Erhaltungsmaßnahmen wegfallen.</w:t>
      </w:r>
    </w:p>
    <w:p>
      <w:r>
        <w:t xml:space="preserve">(5) Für Investitionen, die nach anderen Gesetzen und Verwaltungsvereinbarungen im Wege der Anteilsfinanzierung nach Artikel 104b des Grundgesetzes durch den Bund gefördert werden, können nicht gleichzeitig Finanzhilfen nach diesem Gesetz gewährt werden.</w:t>
      </w:r>
    </w:p>
    <w:p>
      <w:r>
        <w:rPr>
          <w:color w:val="555555"/>
          <w:sz w:val="17"/>
        </w:rPr>
        <w:t xml:space="preserve">Zitiervorschlag: § 26 KitaFinHG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https://recht.nulegal.eu/gesetze/KitaFinHG/26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