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KitaFinHG — Grundvereinbarung</w:t>
      </w:r>
    </w:p>
    <w:p>
      <w:r>
        <w:rPr>
          <w:color w:val="555555"/>
          <w:sz w:val="18"/>
        </w:rPr>
        <w:t xml:space="preserve">Gesetz über Finanzhilfen des Bundes zum Ausbau der Tagesbetreuung für Kinder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Übrigen sind die Regelungen der Grundvereinbarung zwischen dem Bund und den Ländern über die Gewährung von Finanzhilfen des Bundes an die Länder nach Artikel 104a Absatz 4 des Grundgesetzes vom 19. September 1986 (Ministerialblatt des Bundesministers der Finanzen und des Bundesministers für Wirtschaft 1986, S. 238) entsprechend anzuwenden.</w:t>
      </w:r>
    </w:p>
    <w:p>
      <w:r>
        <w:rPr>
          <w:color w:val="555555"/>
          <w:sz w:val="17"/>
        </w:rPr>
        <w:t xml:space="preserve">Zitiervorschlag: § 18 KitaFinHG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https://recht.nulegal.eu/gesetze/KitaFinHG/18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