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KitaFinHG — Rückforderung von Bundesmitteln</w:t>
      </w:r>
    </w:p>
    <w:p>
      <w:r>
        <w:rPr>
          <w:color w:val="555555"/>
          <w:sz w:val="18"/>
        </w:rPr>
        <w:t xml:space="preserve">Gesetz über Finanzhilfen des Bundes zum Ausbau der Tagesbetreuung für Kinder</w:t>
      </w:r>
    </w:p>
    <w:p>
      <w:r>
        <w:rPr>
          <w:color w:val="555555"/>
          <w:sz w:val="18"/>
        </w:rPr>
        <w:t xml:space="preserve">Stand: 10.06.2019 (konsolidierte Textfassung, kein amtliches Inkrafttretensdatum)</w:t>
      </w:r>
    </w:p>
    <w:p>
      <w:r>
        <w:t xml:space="preserve">(1) Die Länder zahlen die Finanzhilfen zurück, wenn die geförderten Maßnahmen ihrer Art nach nicht den in § 5 Absatz 1 und 2 festgelegten Zweckbindungen entsprechen, wenn sie vor dem in § 5 Absatz 1 genannten Stichtag begonnen wurden oder zu viele Mittel abgerufen wurden. Eine Rückzahlung erfolgt auch, sofern die Mittel nicht innerhalb des Förderzeitraums verbraucht wurden. Nach den Sätzen 1 und 2 zurückzuzahlende Beträge sind nach Absatz 2 zu verzinsen und dem Bund zu erstatten.</w:t>
      </w:r>
    </w:p>
    <w:p>
      <w:r>
        <w:t xml:space="preserve">(2) Werden Mittel entgegen § 8 Absatz 3 zu früh angewiesen, so kann der Bund für die Zeit von der Auszahlung bis zur zweckentsprechenden Verwendung Zinsen verlangen. Der Zinssatz bemisst sich nach dem jeweiligen Zinssatz für Kredite des Bundes zur Deckung von Ausgaben zur Zeit der Fristüberschreitung.</w:t>
      </w:r>
    </w:p>
    <w:p>
      <w:r>
        <w:rPr>
          <w:color w:val="555555"/>
          <w:sz w:val="17"/>
        </w:rPr>
        <w:t xml:space="preserve">Zitiervorschlag: § 10 KitaFinHG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https://recht.nulegal.eu/gesetze/KitaFinHG/10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