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KitaEBV (Brandenburg) — Übernachtungsgeld</w:t>
      </w:r>
    </w:p>
    <w:p>
      <w:r>
        <w:rPr>
          <w:color w:val="555555"/>
          <w:sz w:val="18"/>
        </w:rPr>
        <w:t xml:space="preserve">Kitaelternbeiratsverordnung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die Teilnahme an Veranstaltungen nach § 7 Absatz 3 Satz 2 Nummer 1 und 3, bei denen eine Übernachtung notwendig ist, wird ein Übernachtungsgeld bis zur Höhe des Satzes gewährt, der Landesbeamtinnen und Landesbeamten nach den reisekostenrechtlichen Bestimmungen gemäß § 7 Absatz 1 des Bundesreisekostengesetzes zusteht.</w:t>
      </w:r>
    </w:p>
    <w:p>
      <w:r>
        <w:t xml:space="preserve">(2) Höhere Übernachtungskosten im Sinne des § 7 Absatz 1 des Bundesreisekostengesetzes können bei Nachweis erstattet werden, sofern sie angemessen und notwendig sind.</w:t>
      </w:r>
    </w:p>
    <w:p>
      <w:r>
        <w:t xml:space="preserve">(3) Mitglieder des Landeskitaelternbeirates, die am Tagungsort einschließlich seines Einzugsgebietes gemäß § 3 Absatz 1 Nummer 1 Buchstabe c des Bundesumzugskostengesetzes wohnen, haben keinen Anspruch auf Übernachtungsgeld.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9 KitaEBV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https://recht.nulegal.eu/gesetze/KitaEBV/9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