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KitaEBV (Brandenburg) — Inkrafttreten</w:t>
      </w:r>
    </w:p>
    <w:p>
      <w:r>
        <w:rPr>
          <w:color w:val="555555"/>
          <w:sz w:val="18"/>
        </w:rPr>
        <w:t xml:space="preserve">Kitaelternbeiratsverordnung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Diese Verordnung tritt mit Wirkung vom 1. August 2019 in Kraft.</w:t>
      </w:r>
    </w:p>
    <w:p>
      <w:r>
        <w:t xml:space="preserve">Einzelnorm</w:t>
      </w:r>
    </w:p>
    <w:p>
      <w:r>
        <w:t xml:space="preserve">Potsdam, den 16. August 2019</w:t>
      </w:r>
    </w:p>
    <w:p>
      <w:r>
        <w:t xml:space="preserve">Die Ministerin für Bildung,</w:t>
      </w:r>
    </w:p>
    <w:p>
      <w:r>
        <w:t xml:space="preserve">Jugend und Sport</w:t>
      </w:r>
    </w:p>
    <w:p>
      <w:r>
        <w:t xml:space="preserve">Britta Ernst</w:t>
      </w:r>
    </w:p>
    <w:p>
      <w:r>
        <w:rPr>
          <w:color w:val="555555"/>
          <w:sz w:val="17"/>
        </w:rPr>
        <w:t xml:space="preserve">Zitiervorschlag: § 14 KitaEBV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https://recht.nulegal.eu/gesetze/KitaEBV/14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