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KitaBKNV (Brandenburg) — Zuschüsse der Gemeinden an die Träger der Einrichtungen gemäß § 16 Abs. 3 des Kindertagesstättengesetzes</w:t>
      </w:r>
    </w:p>
    <w:p>
      <w:r>
        <w:rPr>
          <w:color w:val="555555"/>
          <w:sz w:val="18"/>
        </w:rPr>
        <w:t xml:space="preserve">Kindertagesstätten-Betriebskosten- und Nachweisverordnung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Verpflichtung der Gemeinde oder Verbandsgemeinde gemäß § 16 Abs. 3 Satz 1 des Kindertagesstättengesetzes kann auch durch Zahlung der ortsüblichen Kaltmiete erfüllt werden, wenn der Träger einer nach § 12 Abs. 3 des Kindertagesstättengesetzes erforderlichen Einrichtung Grundstück und Gebäude selbst zur Verfügung stellt oder anmietet.</w:t>
      </w:r>
    </w:p>
    <w:p>
      <w:r>
        <w:t xml:space="preserve">(2) Das Zahlungsverfahren für die Zuschüsse nach § 16 Abs. 3 des Kindertagesstättengesetzes sowie den Nachweis der Anspruchsberechtigung und der Verwendung der Zuschüsse legt die Gemeinde oder Verbandsgemeinde fest.</w:t>
      </w:r>
    </w:p>
    <w:p>
      <w:r>
        <w:rPr>
          <w:color w:val="555555"/>
          <w:sz w:val="17"/>
        </w:rPr>
        <w:t xml:space="preserve">Zitiervorschlag: § 4 KitaBKNV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https://recht.nulegal.eu/gesetze/KitaBKNV/4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