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KitaBKNV (Brandenburg) — Betriebskosten</w:t>
      </w:r>
    </w:p>
    <w:p>
      <w:r>
        <w:rPr>
          <w:color w:val="555555"/>
          <w:sz w:val="18"/>
        </w:rPr>
        <w:t xml:space="preserve">Kindertagesstätten-Betriebskosten- und Nachweisverordnung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 den Betriebskosten im Sinne des § 15 Abs. 1 des Kindertagesstättengesetzes gehören die Personalkosten nach § 15 Abs. 2 des Kindertagesstättengesetzes und die in § 2 aufgeführten Sachkosten.</w:t>
      </w:r>
    </w:p>
    <w:p>
      <w:r>
        <w:rPr>
          <w:color w:val="555555"/>
          <w:sz w:val="17"/>
        </w:rPr>
        <w:t xml:space="preserve">Zitiervorschlag: § 1 KitaBKNV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https://recht.nulegal.eu/gesetze/KitaBKNV/1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