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Kita-MBAV (Brandenburg) — Inkrafttreten</w:t>
      </w:r>
    </w:p>
    <w:p>
      <w:r>
        <w:rPr>
          <w:color w:val="555555"/>
          <w:sz w:val="18"/>
        </w:rPr>
        <w:t xml:space="preserve">Kita-Mehrbelastungsausgleichsverordnung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Einzelnorm</w:t>
      </w:r>
    </w:p>
    <w:p>
      <w:r>
        <w:t xml:space="preserve">Potsdam, den 14. September 2016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Dr. Dietmar Woidke</w:t>
      </w:r>
    </w:p>
    <w:p>
      <w:r>
        <w:t xml:space="preserve">Der Minister für Bildung,</w:t>
      </w:r>
    </w:p>
    <w:p>
      <w:r>
        <w:t xml:space="preserve">Jugend und Sport</w:t>
      </w:r>
    </w:p>
    <w:p>
      <w:r>
        <w:t xml:space="preserve">Günter Baaske</w:t>
      </w:r>
    </w:p>
    <w:p>
      <w:r>
        <w:rPr>
          <w:color w:val="555555"/>
          <w:sz w:val="17"/>
        </w:rPr>
        <w:t xml:space="preserve">Zitiervorschlag: § 8 Kita-MBAV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https://recht.nulegal.eu/gesetze/Kita-MBAV/8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