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Kita-MBAV (Brandenburg) — Übergangsvorschriften</w:t>
      </w:r>
    </w:p>
    <w:p>
      <w:r>
        <w:rPr>
          <w:color w:val="555555"/>
          <w:sz w:val="18"/>
        </w:rPr>
        <w:t xml:space="preserve">Kita-Mehrbelastungsausgleichsverordnung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Platzkosten für die Jahre 2013 und 2014 betragen 6 430 Euro; für das Jahr 2015 betragen sie 6 592 Euro.</w:t>
      </w:r>
    </w:p>
    <w:p>
      <w:r>
        <w:t xml:space="preserve">(2) Zum Ausgleich des Verwaltungsaufwands, der bei den Landkreisen für die Weiterreichung der Platzkostenanteile an die kreisangehörigen Gemeinden für die Jahre 2013 bis 2015 entsteht, werden mit der ersten Auszahlung gemäß § 5 Absatz 3 einmalig 100 Arbeitsstunden und der Gemeinkostenanteil von 20 Prozent ausgeglichen.</w:t>
      </w:r>
    </w:p>
    <w:p>
      <w:r>
        <w:t xml:space="preserve">(3) Die Auszahlung der Ausgleichsbeträge für die Jahre 2013, 2014, 2015 und die bereits in der Vergangenheit liegenden Quartale des Jahres 2016 erfolgt zum 15. September 2016.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Kita-MBAV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https://recht.nulegal.eu/gesetze/Kita-MBAV/7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Kita-MBAV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