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Kita-MBAV (Brandenburg) — Ausgleichsbetrag</w:t>
      </w:r>
    </w:p>
    <w:p>
      <w:r>
        <w:rPr>
          <w:color w:val="555555"/>
          <w:sz w:val="18"/>
        </w:rPr>
        <w:t xml:space="preserve">Kita-Mehrbelastungsausgleichsverordnung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Zur Ermittlung des Ausgleichsbetrags eines örtlichen Trägers der öffentlichen Jugendhilfe wird die gemäß § 3 Absatz 3 ermittelte Zahl der auszugleichenden Plätze in seinem Zuständigkeitsbereich multipliziert mit den gemäß § 4 ermittelten Platzkosten.</w:t>
      </w:r>
    </w:p>
    <w:p>
      <w:r>
        <w:t xml:space="preserve">(2) Für die Monate August bis Dezember des Jahres 2013 werden fünf Zwölftel des Ausgleichsbetrags für das Jahr 2014 angesetzt.</w:t>
      </w:r>
    </w:p>
    <w:p>
      <w:r>
        <w:t xml:space="preserve">(3) Die Auszahlung der Ausgleichsbeträge an die örtlichen Träger der öffentlichen Jugendhilfe durch das Land erfolgt grundsätzlich gemeinsam mit der Auszahlung der Landeszuschüsse gemäß § 16 Absatz 6 und § 16a Absatz 1 des Kindertagesstättengesetzes zu den in § 5 Absatz 1 Satz 2 der Kindertagesstätten-Betriebskosten- und Nachweisverordnung genannten Terminen.</w:t>
      </w:r>
    </w:p>
    <w:p>
      <w:r>
        <w:t xml:space="preserve">Einzelnorm</w:t>
      </w:r>
    </w:p>
    <w:p>
      <w:r>
        <w:rPr>
          <w:color w:val="555555"/>
          <w:sz w:val="17"/>
        </w:rPr>
        <w:t xml:space="preserve">Zitiervorschlag: § 5 Kita-MBAV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https://recht.nulegal.eu/gesetze/Kita-MBAV/5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