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KirchenberufeV — Ausbildungsstätten</w:t>
      </w:r>
    </w:p>
    <w:p>
      <w:r>
        <w:rPr>
          <w:color w:val="555555"/>
          <w:sz w:val="18"/>
        </w:rPr>
        <w:t xml:space="preserve">Verordnung über die Ausbildungsförderung für den Besuch von Ausbildungsstätten für kirchliche Berufe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Ausbildungsförderung nach dem Bundesausbildungsförderungsgesetz wird geleistet für den Besuch von Ausbildungsstätten für</w:t>
      </w:r>
    </w:p>
    <w:p>
      <w:pPr>
        <w:ind w:left="420"/>
      </w:pPr>
      <w:r>
        <w:t xml:space="preserve">1. Diakone,</w:t>
      </w:r>
    </w:p>
    <w:p>
      <w:pPr>
        <w:ind w:left="420"/>
      </w:pPr>
      <w:r>
        <w:t xml:space="preserve">2. Gemeindehelfer, kirchliche Jugend- und Jugendbildungssekretäre, Katecheten, Missionsanwärter und Seelsorgehelfer,</w:t>
      </w:r>
    </w:p>
    <w:p>
      <w:pPr>
        <w:ind w:left="420"/>
      </w:pPr>
      <w:r>
        <w:t xml:space="preserve">3. Kirchenmusiker mit A- und B-Ausbildung,</w:t>
      </w:r>
    </w:p>
    <w:p>
      <w:pPr>
        <w:ind w:left="420"/>
      </w:pPr>
      <w:r>
        <w:t xml:space="preserve">4. Missionare, Pastoren, Pfarrvikare, Pfarrverwalter und Prediger.</w:t>
      </w:r>
    </w:p>
    <w:p>
      <w:r>
        <w:t xml:space="preserve">(2) Ausbildungsförderung wird nur geleistet, wenn die zuständige Landesbehörde anerkennt, daß der Besuch der Ausbildungsstätte dem Besuch einer öffentlichen Einrichtung oder einer genehmigten Ersatzschule gleichwertig ist.</w:t>
      </w:r>
    </w:p>
    <w:p>
      <w:r>
        <w:rPr>
          <w:color w:val="555555"/>
          <w:sz w:val="17"/>
        </w:rPr>
        <w:t xml:space="preserve">Zitiervorschlag: § 1 KirchenberufeV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https://recht.nulegal.eu/gesetze/KirchenberufeV/1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