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KirchStG (Bayern) — Umlagesatz</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Kircheneinkommen-, die Kirchenlohn- und die Kirchenkapitalertragsteuer werden nach einem einheitlichen Umlagesatz erhoben. Die umlageerhebenden gemeinschaftlichen Steuerverbände bestimmen gemeinsam die Höhe des Umlagesatzes; der Umlagesatz darf zehn v.H. der Einkommen-, Lohn- und Kapitalertragsteuer nicht übersteigen. Einigen sich die umlageerhebenden gemeinschaftlichen Steuerverbände nicht auf einen einheitlichen Umlagesatz, so bestimmt das Staatsministerium der Finanzen und für Heimat auf Antrag eines gemeinschaftlichen Steuerverbands den Umlagesatz. Maßgeblich ist den Fällen des Art. 6 Abs. 1 Nr. 2 Buchst. a und b der in Bayern geltende Umlagesatz, in den Fällen des Art. 6 Abs. 1 Nr. 2 Buchst. c der Umlagesatz der außerhalb Bayerns umlageerhebenden Gemeinschaft.</w:t>
      </w:r>
    </w:p>
    <w:p>
      <w:r>
        <w:t xml:space="preserve">(2) Vor Erhebung der Kircheneinkommen-, der Kirchenlohn- und der Kirchenkapitalertragsteuer ist die Einkommen-, Lohn- und Kapitalertragsteuer nach Maßgabe des § 51a des Einkommensteuergesetzes (EStG) zu ermitteln.</w:t>
      </w:r>
    </w:p>
    <w:p>
      <w:r>
        <w:rPr>
          <w:color w:val="555555"/>
          <w:sz w:val="17"/>
        </w:rPr>
        <w:t xml:space="preserve">Zitiervorschlag: Art 8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