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KirchStG (Bayern) — Arten der Kirchensteuer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Kirchensteuern können unbeschadet Art. 16 Abs. 2 und Art. 22 Satz 5 einzeln oder nebeneinander erhoben werden</w:t>
      </w:r>
    </w:p>
    <w:p>
      <w:r>
        <w:t xml:space="preserve">1. in Form von Kirchenumlagen nach dem Maßstab der Einkommensteuer (veranlagte und im Abzugsverfahren erhobene Einkommensteuer) als Kircheneinkommen-, Kirchenlohn- und Kirchenkapitalertragsteuer, nach dem Maßstab der Grundsteuermessbeträge als Kirchengrundsteuer,</w:t>
      </w:r>
    </w:p>
    <w:p>
      <w:r>
        <w:t xml:space="preserve">2. in Form von Kirchgeld,</w:t>
      </w:r>
    </w:p>
    <w:p>
      <w:r>
        <w:t xml:space="preserve">3. in Form von besonderem Kirchgeld von Umlagepflichtigen, deren Ehegatte keiner Kirche, Religionsgemeinschaft oder weltanschaulichen Gemeinschaft angehört, die Körperschaft des öffentlichen Rechts ist.</w:t>
      </w:r>
    </w:p>
    <w:p>
      <w:r>
        <w:rPr>
          <w:color w:val="555555"/>
          <w:sz w:val="17"/>
        </w:rPr>
        <w:t xml:space="preserve">Zitiervorschlag: Art 4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