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KirchStG (Bayern) — Gläubiger und Schuldner von Kirchensteuern</w:t>
      </w:r>
    </w:p>
    <w:p>
      <w:r>
        <w:rPr>
          <w:color w:val="555555"/>
          <w:sz w:val="18"/>
        </w:rPr>
        <w:t xml:space="preserve">Kirchensteuergesetz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Gläubiger der Kirchenumlagen und des besonderen Kirchgelds sind die gemeinschaftlichen Steuerverbände, Gläubiger des Kirchgelds sind die gemeindlichen Steuerverbände.</w:t>
      </w:r>
    </w:p>
    <w:p>
      <w:r>
        <w:t xml:space="preserve">(2) Schuldner der Kirchensteuern sind die Angehörigen der in Art. 1 genannten Gemeinschaften.</w:t>
      </w:r>
    </w:p>
    <w:p>
      <w:r>
        <w:t xml:space="preserve">(3) Der Eintritt in eine solche Gemeinschaft bestimmt sich nach dem jeweiligen Satzungsrecht der betreffenden Gemeinschaft.</w:t>
      </w:r>
    </w:p>
    <w:p>
      <w:r>
        <w:t xml:space="preserve">(4) Der Austritt bedarf zur öffentlich-rechtlichen Wirkung der Erklärung bei dem Standesamt des Wohnsitzes oder gewöhnlichen Aufenthaltsorts. Die Erklärung ist persönlich zur Niederschrift abzugeben oder in öffentlich beglaubigter Form einzureichen; der Austritt darf zu seiner Wirksamkeit nicht unter einer Bedingung, einer Einschränkung oder einem Vorbehalt erklärt werden. Bei einem Übertritt von einer in Art. 1 genannten Gemeinschaft in eine andere solche Gemeinschaft genügt abweichend von den Sätzen 1 und 2 eine Mitteilung der aufnehmenden Gemeinschaft an das Standesamt, wenn eine Vereinbarung über diese Form des Übertritts getroffen wurde.</w:t>
      </w:r>
    </w:p>
    <w:p>
      <w:r>
        <w:t xml:space="preserve">(5) Die Regelungen dieses Gesetzes betreffend Ehegatten und Ehen sind auch auf Lebenspartner und Lebenspartnerschaften anzuwenden.</w:t>
      </w:r>
    </w:p>
    <w:p>
      <w:r>
        <w:rPr>
          <w:color w:val="555555"/>
          <w:sz w:val="17"/>
        </w:rPr>
        <w:t xml:space="preserve">Zitiervorschlag: Art 3 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https://recht.nulegal.eu/gesetze/KirchStG/3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