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26b KirchStG (Bayern) — Übergangsvorschriften</w:t>
      </w:r>
    </w:p>
    <w:p>
      <w:r>
        <w:rPr>
          <w:color w:val="555555"/>
          <w:sz w:val="18"/>
        </w:rPr>
        <w:t xml:space="preserve">Kirchensteuergesetz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Art. 3 Abs. 5 in Verbindung mit Art. 9 ist für die Veranlagungszeiträume 2001 bis 2013 in allen Fällen anzuwenden, in denen die Kircheneinkommensteuer noch nicht bestandkräftig festgesetzt ist.</w:t>
      </w:r>
    </w:p>
    <w:p>
      <w:r>
        <w:t xml:space="preserve">(2) Wenn beide Lebenspartner der gleichen umlageerhebenden Gemeinschaft angehören und zur Einkommensteuer zusammen veranlagt werden, wird die Bemessungsgrundlage der Kircheneinkommensteuer jedes Lebenspartners für die Veranlagungszeiträume 2001 bis 2013 nach Art. 9 Abs. 1 Nr. 2 ermittelt, wenn die Kircheneinkommensteuer noch nicht bestandskräftig festgesetzt ist.</w:t>
      </w:r>
    </w:p>
    <w:p>
      <w:r>
        <w:t xml:space="preserve">(3) Für Kapitalerträge, die bis zum Ablauf des 31. Dezember 2014 zugeflossen sind, findet dieses Gesetz in der bis zum 31. Dezember 2014 geltenden Fassung Anwendung.</w:t>
      </w:r>
    </w:p>
    <w:p>
      <w:r>
        <w:rPr>
          <w:color w:val="555555"/>
          <w:sz w:val="17"/>
        </w:rPr>
        <w:t xml:space="preserve">Zitiervorschlag: Art 26b 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https://recht.nulegal.eu/gesetze/KirchStG/26b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