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KirchStG (Bayern) — Verteilung des Aufkommens an Kirchenumlagen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Verteilung des Aufkommens an Kirchenumlagen zwischen den gemeinschaftlichen Steuerverbänden bzw. dem gemeinschaftlichen Steuerverband und den gemeindlichen Steuerverbänden bleibt den gemeinschaftlichen Steuerverbänden oder dem gemeinschaftlichen Steuerverband überlassen.</w:t>
      </w:r>
    </w:p>
    <w:p>
      <w:r>
        <w:t xml:space="preserve">(2) Die gemeinschaftlichen Steuerverbände haben dem Staatsministerium der Finanzen und für Heimat das Aufkommen an Kirchenumlagen, an besonderem Kirchgeld alljährlich zum 1. April anzuzeigen.</w:t>
      </w:r>
    </w:p>
    <w:p>
      <w:r>
        <w:rPr>
          <w:color w:val="555555"/>
          <w:sz w:val="17"/>
        </w:rPr>
        <w:t xml:space="preserve">Zitiervorschlag: Art 24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