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KirchStG (Bayern) — Anrechnung von Kirchenlohnsteuer und Kirchenkapitalertragsteuer</w:t>
      </w:r>
    </w:p>
    <w:p>
      <w:r>
        <w:rPr>
          <w:color w:val="555555"/>
          <w:sz w:val="18"/>
        </w:rPr>
        <w:t xml:space="preserve">Kirchensteuergesetz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Umlagepflichtigen, die zur Kircheneinkommensteuer veranlagt werden, wird die einbehaltene Kirchenlohnsteuer und auf Antrag die einbehaltene Kirchenkapitalertragsteuer auf die Kircheneinkommensteuer angerechnet.</w:t>
      </w:r>
    </w:p>
    <w:p>
      <w:r>
        <w:rPr>
          <w:color w:val="555555"/>
          <w:sz w:val="17"/>
        </w:rPr>
        <w:t xml:space="preserve">Zitiervorschlag: Art 11 KirchStG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https://recht.nulegal.eu/gesetze/KirchStG/11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