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KindArbSchV</w:t>
      </w:r>
    </w:p>
    <w:p>
      <w:r>
        <w:rPr>
          <w:color w:val="555555"/>
          <w:sz w:val="18"/>
        </w:rPr>
        <w:t xml:space="preserve">Kinderarbeitsschutzverordnung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4a des Jugendarbeitsschutzgesetzes, der durch Artikel 1 Nr. 2 Buchstabe e des Gesetzes vom 24. Februar 1997 (BGBl. I S. 311) eingefügt worden ist, verordnet die Bundesregierung:</w:t>
      </w:r>
    </w:p>
    <w:p>
      <w:r>
        <w:rPr>
          <w:color w:val="555555"/>
          <w:sz w:val="17"/>
        </w:rPr>
        <w:t xml:space="preserve">Zitiervorschlag: Eingangsformel KindArbSchV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https://recht.nulegal.eu/gesetze/KindArbSchV/eingangsformel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