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KindArbSchV — Inkrafttreten</w:t>
      </w:r>
    </w:p>
    <w:p>
      <w:r>
        <w:rPr>
          <w:color w:val="555555"/>
          <w:sz w:val="18"/>
        </w:rPr>
        <w:t xml:space="preserve">Kinderarbeitsschutzverordnung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Tage des auf die Verkündung folgenden Kalendermonats in Kraft.</w:t>
      </w:r>
    </w:p>
    <w:p>
      <w:r>
        <w:rPr>
          <w:color w:val="555555"/>
          <w:sz w:val="17"/>
        </w:rPr>
        <w:t xml:space="preserve">Zitiervorschlag: § 4 KindArbSchV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https://recht.nulegal.eu/gesetze/KindArbSchV/4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