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KindArbSchV — Behördliche Befugnisse</w:t>
      </w:r>
    </w:p>
    <w:p>
      <w:r>
        <w:rPr>
          <w:color w:val="555555"/>
          <w:sz w:val="18"/>
        </w:rPr>
        <w:t xml:space="preserve">Kinderarbeitsschutzverordnung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Aufsichtsbehörde kann im Einzelfall feststellen, ob die Beschäftigung nach § 2 zulässig ist.</w:t>
      </w:r>
    </w:p>
    <w:p>
      <w:r>
        <w:rPr>
          <w:color w:val="555555"/>
          <w:sz w:val="17"/>
        </w:rPr>
        <w:t xml:space="preserve">Zitiervorschlag: § 3 KindArbSchV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https://recht.nulegal.eu/gesetze/KindArbSchV/3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