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KindArbSchV — Beschäftigungsverbot</w:t>
      </w:r>
    </w:p>
    <w:p>
      <w:r>
        <w:rPr>
          <w:color w:val="555555"/>
          <w:sz w:val="18"/>
        </w:rPr>
        <w:t xml:space="preserve">Kinderarbeitsschutzverordnung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Kinder über 13 Jahre und vollzeitschulpflichtige Jugendliche dürfen nicht beschäftigt werden, soweit nicht das Jugendarbeitsschutzgesetz und § 2 dieser Verordnung Ausnahmen vorsehen.</w:t>
      </w:r>
    </w:p>
    <w:p>
      <w:r>
        <w:rPr>
          <w:color w:val="555555"/>
          <w:sz w:val="17"/>
        </w:rPr>
        <w:t xml:space="preserve">Zitiervorschlag: § 1 KindArbSchV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https://recht.nulegal.eu/gesetze/KindArbSchV/1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