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KiZDAV</w:t>
      </w:r>
    </w:p>
    <w:p>
      <w:r>
        <w:rPr>
          <w:color w:val="555555"/>
          <w:sz w:val="18"/>
        </w:rPr>
        <w:t xml:space="preserve">Kinderzuschlag-Datenabrufverordnung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Auf Grund des § 68 Absatz 5 des Einkommensteuergesetzes, der durch Artikel 9 Nummer 8 Buchstabe b des Gesetzes vom 11. Juli 2019 (BGBl. I S. 1066) eingefügt worden ist, verordnet das Bundesministerium der Finanzen:</w:t>
      </w:r>
    </w:p>
    <w:p>
      <w:r>
        <w:rPr>
          <w:color w:val="555555"/>
          <w:sz w:val="17"/>
        </w:rPr>
        <w:t xml:space="preserve">Zitiervorschlag: Eingangsformel KiZDAV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https://recht.nulegal.eu/gesetze/KiZDAV/eingangsformel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