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KiZDAV — Inkrafttreten</w:t>
      </w:r>
    </w:p>
    <w:p>
      <w:r>
        <w:rPr>
          <w:color w:val="555555"/>
          <w:sz w:val="18"/>
        </w:rPr>
        <w:t xml:space="preserve">Kinderzuschlag-Datenabrufverordnung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Diese Verordnung tritt am 1. Januar 2024 in Kraft.</w:t>
      </w:r>
    </w:p>
    <w:p>
      <w:r>
        <w:rPr>
          <w:color w:val="555555"/>
          <w:sz w:val="17"/>
        </w:rPr>
        <w:t xml:space="preserve">Zitiervorschlag: § 6 KiZDAV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https://recht.nulegal.eu/gesetze/KiZDAV/6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