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KiZDAV — Prüfungs- und Dokumentationspflichten</w:t>
      </w:r>
    </w:p>
    <w:p>
      <w:r>
        <w:rPr>
          <w:color w:val="555555"/>
          <w:sz w:val="18"/>
        </w:rPr>
        <w:t xml:space="preserve">Kinderzuschlag-Datenabrufverordnung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Zur Wahrung des Steuergeheimnisses und zur Sicherstellung von Datenschutz und Datensicherheit beim Abrufverfahren sind § 2 Absatz 1 und die §§ 5 bis 8 der Steuerdaten-Abrufverordnung entsprechend anzuwenden.</w:t>
      </w:r>
    </w:p>
    <w:p>
      <w:r>
        <w:rPr>
          <w:color w:val="555555"/>
          <w:sz w:val="17"/>
        </w:rPr>
        <w:t xml:space="preserve">Zitiervorschlag: § 5 KiZDAV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https://recht.nulegal.eu/gesetze/KiZDAV/5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