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KiZDAV — Anwendungsbereich</w:t>
      </w:r>
    </w:p>
    <w:p>
      <w:r>
        <w:rPr>
          <w:color w:val="555555"/>
          <w:sz w:val="18"/>
        </w:rPr>
        <w:t xml:space="preserve">Kinderzuschlag-Datenabrufverordnung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gilt für den automatisierten Abruf von Daten durch die Stellen der Familienkasse der Bundesagentur für Arbeit, die für den Kinderzuschlag nach § 6a des Bundeskindergeldgesetzes zuständig sind (KiZ-Stellen). Daten nach Satz 1 sind Daten,</w:t>
      </w:r>
    </w:p>
    <w:p>
      <w:pPr>
        <w:ind w:left="420"/>
      </w:pPr>
      <w:r>
        <w:t xml:space="preserve">1. die bei den für das Kindergeld nach dem X. Abschnitt des Einkommensteuergesetzes zuständigen Stellen der Familienkasse der Bundesagentur für Arbeit (KG-Stellen) gespeichert sind und</w:t>
      </w:r>
    </w:p>
    <w:p>
      <w:pPr>
        <w:ind w:left="420"/>
      </w:pPr>
      <w:r>
        <w:t xml:space="preserve">2. die den für eine Kindergeldzahlung maßgebenden Sachverhalt betreffen.</w:t>
      </w:r>
    </w:p>
    <w:p>
      <w:r>
        <w:rPr>
          <w:color w:val="555555"/>
          <w:sz w:val="17"/>
        </w:rPr>
        <w:t xml:space="preserve">Zitiervorschlag: § 1 KiZDAV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https://recht.nulegal.eu/gesetze/KiZDAV/1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