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KiStGDV (Nordrhein-Westfalen) — Anerkennung der Kirchensteuerordnungen</w:t>
      </w:r>
    </w:p>
    <w:p>
      <w:r>
        <w:rPr>
          <w:color w:val="555555"/>
          <w:sz w:val="18"/>
        </w:rPr>
        <w:t xml:space="preserve">Kirchensteuergesetzdurchführungsverordnung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Anerkennung der Kirchen- und Kultussteuerordnungen setzt voraus, dass in diesen geregelt sind:</w:t>
      </w:r>
    </w:p>
    <w:p>
      <w:r>
        <w:t xml:space="preserve">1. die zur Steuererhebung berechtigten kirchlichen Körperschaften,</w:t>
      </w:r>
    </w:p>
    <w:p>
      <w:r>
        <w:t xml:space="preserve">2. Beginn und Ende der persönlichen Kirchen- beziehungsweise Kultussteuerpflicht,</w:t>
      </w:r>
    </w:p>
    <w:p>
      <w:r>
        <w:t xml:space="preserve">3. die Kirchen- beziehungsweise Kultussteuern, die im Rahmen des § 4 Abs. 1 des Gesetzes erhoben werden können und</w:t>
      </w:r>
    </w:p>
    <w:p>
      <w:r>
        <w:t xml:space="preserve">4. die zur Entscheidung über den Einspruch und die Beschwerde gemäß § 14 des Gesetzes zuständigen Stellen.</w:t>
      </w:r>
    </w:p>
    <w:p>
      <w:r>
        <w:rPr>
          <w:color w:val="555555"/>
          <w:sz w:val="17"/>
        </w:rPr>
        <w:t xml:space="preserve">Zitiervorschlag: § 6 KiStGDV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https://recht.nulegal.eu/gesetze/KiStGDV/6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