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KiStGDV (Nordrhein-Westfalen) — Steuerjahr</w:t>
      </w:r>
    </w:p>
    <w:p>
      <w:r>
        <w:rPr>
          <w:color w:val="555555"/>
          <w:sz w:val="18"/>
        </w:rPr>
        <w:t xml:space="preserve">Kirchensteuergesetzdurchführungsverordnung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Kirchen- und Kultussteuer wird für das Steuerjahr erhoben. Steuerjahr ist das Kalenderjahr.</w:t>
      </w:r>
    </w:p>
    <w:p>
      <w:r>
        <w:rPr>
          <w:color w:val="555555"/>
          <w:sz w:val="17"/>
        </w:rPr>
        <w:t xml:space="preserve">Zitiervorschlag: § 1 KiStGDV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https://recht.nulegal.eu/gesetze/KiStGDV/1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