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KiGAbV</w:t>
      </w:r>
    </w:p>
    <w:p>
      <w:r>
        <w:rPr>
          <w:color w:val="555555"/>
          <w:sz w:val="18"/>
        </w:rPr>
        <w:t xml:space="preserve">Kindergelddaten-Abrufverordnung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68 Absatz 4 Satz 2 des Einkommensteuergesetzes, der durch Artikel 1 Nummer 1 des Gesetzes vom 8. Dezember 2016 (BGBl. I S. 2835)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KiGAbV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https://recht.nulegal.eu/gesetze/KiGAbV/eingangsformel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