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KiGAbV — Inkrafttreten, Außerkrafttreten</w:t>
      </w:r>
    </w:p>
    <w:p>
      <w:r>
        <w:rPr>
          <w:color w:val="555555"/>
          <w:sz w:val="18"/>
        </w:rPr>
        <w:t xml:space="preserve">Kindergelddaten-Abrufverordnung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Mai 2018 in Kraft. § 3 Absatz 5 tritt am 25. Mai 2018 außer Kraft.</w:t>
      </w:r>
    </w:p>
    <w:p>
      <w:r>
        <w:rPr>
          <w:color w:val="555555"/>
          <w:sz w:val="17"/>
        </w:rPr>
        <w:t xml:space="preserve">Zitiervorschlag: § 6 KiGAbV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https://recht.nulegal.eu/gesetze/KiGAbV/6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