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KiGAbV — Mitteilungspflichten</w:t>
      </w:r>
    </w:p>
    <w:p>
      <w:r>
        <w:rPr>
          <w:color w:val="555555"/>
          <w:sz w:val="18"/>
        </w:rPr>
        <w:t xml:space="preserve">Kindergelddaten-Abrufverordnung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am automatisierten Abrufverfahren beteiligte Stelle informiert die zuständige Familienkasse der Bundesagentur für Arbeit, wenn</w:t>
      </w:r>
    </w:p>
    <w:p>
      <w:pPr>
        <w:ind w:left="420"/>
      </w:pPr>
      <w:r>
        <w:t xml:space="preserve">1. das Dienst- oder Arbeitsverhältnis beendet wird und deshalb kein Anspruch mehr auf kindergeldabhängige Leistungen des Besoldungs- oder Tarifrechts besteht oder</w:t>
      </w:r>
    </w:p>
    <w:p>
      <w:pPr>
        <w:ind w:left="420"/>
      </w:pPr>
      <w:r>
        <w:t xml:space="preserve">2. ein Dienst- oder Arbeitsverhältnis neu begründet wird und auf Grund dieses Dienst- oder Arbeitsverhältnisses ein Anspruch auf kindergeldabhängige Leistungen des Besoldungs- oder Tarifrechts entsteht.</w:t>
      </w:r>
    </w:p>
    <w:p>
      <w:r>
        <w:rPr>
          <w:color w:val="555555"/>
          <w:sz w:val="17"/>
        </w:rPr>
        <w:t xml:space="preserve">Zitiervorschlag: § 5 KiGAbV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https://recht.nulegal.eu/gesetze/KiGAbV/5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