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KiGAbV — Prüfungs- und Dokumentationspflichten</w:t>
      </w:r>
    </w:p>
    <w:p>
      <w:r>
        <w:rPr>
          <w:color w:val="555555"/>
          <w:sz w:val="18"/>
        </w:rPr>
        <w:t xml:space="preserve">Kindergelddaten-Abrufverordnung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Zur Wahrung des Steuergeheimnisses und zur Sicherstellung von Datenschutz und Datensicherheit beim Abrufverfahren sind § 2 Absatz 1, § 5 Absatz 1 und die §§ 6 bis 8 der Steuerdaten-Abrufverordnung vom 13. Oktober 2005 (BGBl. I S. 3021), die durch Artikel 3 der Verordnung vom 12. Juli 2017 (BGBl. I S. 2360) geändert worden ist, in der jeweils geltenden Fassung entsprechend anzuwenden.</w:t>
      </w:r>
    </w:p>
    <w:p>
      <w:r>
        <w:rPr>
          <w:color w:val="555555"/>
          <w:sz w:val="17"/>
        </w:rPr>
        <w:t xml:space="preserve">Zitiervorschlag: § 4 KiGAbV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https://recht.nulegal.eu/gesetze/KiGAbV/4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