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KiGAbV — Abrufberechtigung</w:t>
      </w:r>
    </w:p>
    <w:p>
      <w:r>
        <w:rPr>
          <w:color w:val="555555"/>
          <w:sz w:val="18"/>
        </w:rPr>
        <w:t xml:space="preserve">Kindergelddaten-Abrufverordnung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Erteilung einer Abrufberechtigung kommt in Betracht für Personen als Beschäftigte der in § 1 genannten Bezügestellen, sofern Bestandteile der Bezüge davon abhängen, dass</w:t>
      </w:r>
    </w:p>
    <w:p>
      <w:pPr>
        <w:ind w:left="420"/>
      </w:pPr>
      <w:r>
        <w:t xml:space="preserve">1. Kindergeld nach dem Einkommensteuergesetz zusteht oder</w:t>
      </w:r>
    </w:p>
    <w:p>
      <w:pPr>
        <w:ind w:left="420"/>
      </w:pPr>
      <w:r>
        <w:t xml:space="preserve">2. Kindergeld ohne Berücksichtigung der §§ 64 und 65 des Einkommensteuergesetzes zustünde.</w:t>
      </w:r>
    </w:p>
    <w:p>
      <w:r>
        <w:t xml:space="preserve">(2) Personen nach Absatz 1 sind Amtsträger (§ 7 der Abgabenordnung) oder gleichgestellte Personen (§ 30 Absatz 3 Nummer 1 der Abgabenordnung), die kindergeldabhängige Leistungen des Besoldungs-, des Versorgungs- oder des Tarifrechts unter Verwendung personenbezogener Kindergelddaten festzusetzen haben.</w:t>
      </w:r>
    </w:p>
    <w:p>
      <w:r>
        <w:t xml:space="preserve">(3) Abrufberechtigungen nach Absatz 1 sind auf die Kindergelddaten zu beschränken, die zur Erledigung der Bezügezahlung erforderlich sind.</w:t>
      </w:r>
    </w:p>
    <w:p>
      <w:r>
        <w:t xml:space="preserve">(4) Unzulässig ist ein Abruf von Kindergelddaten für die Entscheidung über die Bewilligung oder Ablehnung von Beihilfe nach der Bundesbeihilfeverordnung oder für die Festsetzung von Beihilfe nach entsprechenden Vorschriften der Länder.</w:t>
      </w:r>
    </w:p>
    <w:p>
      <w:r>
        <w:rPr>
          <w:color w:val="555555"/>
          <w:sz w:val="17"/>
        </w:rPr>
        <w:t xml:space="preserve">Zitiervorschlag: § 2 KiGAbV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https://recht.nulegal.eu/gesetze/KiGAbV/2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