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KiGAbV — Anwendungsbereich</w:t>
      </w:r>
    </w:p>
    <w:p>
      <w:r>
        <w:rPr>
          <w:color w:val="555555"/>
          <w:sz w:val="18"/>
        </w:rPr>
        <w:t xml:space="preserve">Kindergelddaten-Abrufverordnung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für den automatisierten Abruf von Daten, die</w:t>
      </w:r>
    </w:p>
    <w:p>
      <w:pPr>
        <w:ind w:left="420"/>
      </w:pPr>
      <w:r>
        <w:t xml:space="preserve">1. bei der Familienkasse der Bundesagentur für Arbeit gespeichert sind und</w:t>
      </w:r>
    </w:p>
    <w:p>
      <w:pPr>
        <w:ind w:left="420"/>
      </w:pPr>
      <w:r>
        <w:t xml:space="preserve">2. den für eine Kindergeldzahlung maßgebenden Sachverhalt betreffen (Kindergelddaten),</w:t>
      </w:r>
    </w:p>
    <w:p>
      <w:r>
        <w:t xml:space="preserve">durch Bezügestellen des öffentlichen Dienstes (§ 40 Absatz 7 in Verbindung mit Absatz 6 des Bundesbesoldungsgesetzes).</w:t>
      </w:r>
    </w:p>
    <w:p>
      <w:r>
        <w:rPr>
          <w:color w:val="555555"/>
          <w:sz w:val="17"/>
        </w:rPr>
        <w:t xml:space="preserve">Zitiervorschlag: § 1 KiGAbV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https://recht.nulegal.eu/gesetze/KiGAbV/1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