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KiAustrG (Nordrhein-Westfalen)</w:t>
      </w:r>
    </w:p>
    <w:p>
      <w:r>
        <w:rPr>
          <w:color w:val="555555"/>
          <w:sz w:val="18"/>
        </w:rPr>
        <w:t xml:space="preserve">Kirchenaustrittsgesetz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Amtshandlungen des Amtsgerichts werden Kosten nach den Bestimmungen des Gesetzes über Kosten im Bereich der Justizverwaltung (Justizverwaltungskostengesetz - JVKostG) erhoben.</w:t>
      </w:r>
    </w:p>
    <w:p>
      <w:r>
        <w:rPr>
          <w:color w:val="555555"/>
          <w:sz w:val="17"/>
        </w:rPr>
        <w:t xml:space="preserve">Zitiervorschlag: § 6 KiAustrG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https://recht.nulegal.eu/gesetze/KiAustrG/6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