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KiAustrG (Nordrhein-Westfalen)</w:t>
      </w:r>
    </w:p>
    <w:p>
      <w:r>
        <w:rPr>
          <w:color w:val="555555"/>
          <w:sz w:val="18"/>
        </w:rPr>
        <w:t xml:space="preserve">Kirchenaustrittsgesetz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Amtsgericht hat dem Ausgetretenen unverzüglich nach Abgabe der Austrittserklärung eine Austrittsbescheinigung zu erteilen. In der Bescheinigung ist anzugeben, wann die Austrittserklärung wirksam geworden ist.</w:t>
      </w:r>
    </w:p>
    <w:p>
      <w:r>
        <w:t xml:space="preserve">(2) Das Amtsgericht unterrichtet die Kirche, die Religions- oder Weltanschauungsgemeinschaft unverzüglich durch Übersendung einer beglaubigten Abschrift der Austrittserklärung. Es teilt den Austritt der für die Wohnung des Ausgetretenen zuständigen Meldebehörde mit.</w:t>
      </w:r>
    </w:p>
    <w:p>
      <w:r>
        <w:rPr>
          <w:color w:val="555555"/>
          <w:sz w:val="17"/>
        </w:rPr>
        <w:t xml:space="preserve">Zitiervorschlag: § 5 KiAustrG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https://recht.nulegal.eu/gesetze/KiAustrG/5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KiAustrG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